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58E67E05"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sidR="00354C8F">
        <w:rPr>
          <w:b/>
          <w:bCs/>
          <w:noProof/>
          <w:sz w:val="24"/>
        </w:rPr>
        <w:t>8</w:t>
      </w:r>
      <w:r w:rsidR="00034879">
        <w:rPr>
          <w:rFonts w:hint="eastAsia"/>
          <w:b/>
          <w:sz w:val="24"/>
          <w:lang w:eastAsia="zh-TW"/>
        </w:rPr>
        <w:t>b</w:t>
      </w:r>
      <w:r w:rsidR="00034879">
        <w:rPr>
          <w:b/>
          <w:sz w:val="24"/>
          <w:lang w:eastAsia="zh-TW"/>
        </w:rPr>
        <w:t>is</w:t>
      </w:r>
      <w:r>
        <w:rPr>
          <w:b/>
          <w:i/>
          <w:noProof/>
          <w:sz w:val="28"/>
        </w:rPr>
        <w:tab/>
      </w:r>
      <w:r>
        <w:rPr>
          <w:b/>
          <w:iCs/>
          <w:noProof/>
          <w:sz w:val="24"/>
          <w:szCs w:val="18"/>
        </w:rPr>
        <w:t>R1-24</w:t>
      </w:r>
      <w:r w:rsidR="00D67644">
        <w:rPr>
          <w:b/>
          <w:iCs/>
          <w:noProof/>
          <w:sz w:val="24"/>
          <w:szCs w:val="18"/>
        </w:rPr>
        <w:t>08891</w:t>
      </w:r>
    </w:p>
    <w:p w14:paraId="3DA237DF" w14:textId="727F8C86" w:rsidR="005E3D09" w:rsidRDefault="00034879" w:rsidP="005E3D09">
      <w:pPr>
        <w:pStyle w:val="CRCoverPage"/>
        <w:outlineLvl w:val="0"/>
        <w:rPr>
          <w:b/>
          <w:noProof/>
          <w:sz w:val="24"/>
        </w:rPr>
      </w:pPr>
      <w:r w:rsidRPr="000F5FF3">
        <w:rPr>
          <w:b/>
          <w:bCs/>
          <w:sz w:val="24"/>
        </w:rPr>
        <w:t>Hefei, China, October 14</w:t>
      </w:r>
      <w:r w:rsidRPr="000F5FF3">
        <w:rPr>
          <w:rFonts w:hint="eastAsia"/>
          <w:b/>
          <w:bCs/>
          <w:sz w:val="24"/>
          <w:vertAlign w:val="superscript"/>
        </w:rPr>
        <w:t>th</w:t>
      </w:r>
      <w:r w:rsidRPr="000F5FF3">
        <w:rPr>
          <w:b/>
          <w:bCs/>
          <w:sz w:val="24"/>
        </w:rPr>
        <w:t xml:space="preserve"> – 18</w:t>
      </w:r>
      <w:r w:rsidRPr="000F5FF3">
        <w:rPr>
          <w:b/>
          <w:bCs/>
          <w:sz w:val="24"/>
          <w:vertAlign w:val="superscript"/>
        </w:rPr>
        <w:t>th</w:t>
      </w:r>
      <w:r w:rsidRPr="000F5FF3">
        <w:rPr>
          <w:b/>
          <w:bCs/>
          <w:sz w:val="24"/>
        </w:rPr>
        <w:t>, 2024</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07F6210" w:rsidR="00B36C72"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FAEB67" w14:textId="2C128279" w:rsidR="001373BC" w:rsidRDefault="001373BC" w:rsidP="001373BC">
      <w:pPr>
        <w:pStyle w:val="4"/>
      </w:pPr>
      <w:r>
        <w:t>PL offset</w:t>
      </w:r>
      <w:r w:rsidR="00DC5CB0">
        <w:t xml:space="preserve"> </w:t>
      </w:r>
      <w:r w:rsidR="00DC5CB0" w:rsidRPr="00CE02FB">
        <w:rPr>
          <w:rFonts w:eastAsia="DengXian"/>
          <w:lang w:eastAsia="zh-CN"/>
        </w:rPr>
        <w:t>for PDCCH-order PRACH transmission at least for FR1</w:t>
      </w:r>
    </w:p>
    <w:p w14:paraId="0A5D314B" w14:textId="1DCAC6C7" w:rsidR="00034879" w:rsidRPr="00034879" w:rsidRDefault="00034879" w:rsidP="00034879">
      <w:pPr>
        <w:overflowPunct/>
        <w:autoSpaceDE/>
        <w:autoSpaceDN/>
        <w:adjustRightInd/>
        <w:spacing w:after="0"/>
        <w:textAlignment w:val="auto"/>
        <w:rPr>
          <w:rFonts w:ascii="Times" w:eastAsia="Batang" w:hAnsi="Times" w:cs="Times"/>
          <w:b/>
          <w:bCs/>
          <w:szCs w:val="24"/>
          <w:highlight w:val="green"/>
          <w:lang w:eastAsia="x-none"/>
        </w:rPr>
      </w:pPr>
      <w:r w:rsidRPr="00034879">
        <w:rPr>
          <w:rFonts w:ascii="Times" w:eastAsia="Batang" w:hAnsi="Times" w:cs="Times"/>
          <w:b/>
          <w:bCs/>
          <w:szCs w:val="24"/>
          <w:highlight w:val="green"/>
          <w:lang w:eastAsia="x-none"/>
        </w:rPr>
        <w:t>Agreement</w:t>
      </w:r>
      <w:r w:rsidRPr="00034879">
        <w:rPr>
          <w:rFonts w:ascii="Times" w:eastAsia="Batang" w:hAnsi="Times" w:cs="Times"/>
          <w:b/>
          <w:bCs/>
          <w:szCs w:val="24"/>
          <w:lang w:eastAsia="x-none"/>
        </w:rPr>
        <w:t xml:space="preserve"> (</w:t>
      </w:r>
      <w:r>
        <w:rPr>
          <w:rFonts w:ascii="Times" w:eastAsia="Batang" w:hAnsi="Times" w:cs="Times"/>
          <w:b/>
          <w:bCs/>
          <w:szCs w:val="24"/>
          <w:lang w:eastAsia="x-none"/>
        </w:rPr>
        <w:t>RAN1 #</w:t>
      </w:r>
      <w:r w:rsidRPr="00034879">
        <w:rPr>
          <w:rFonts w:ascii="Times" w:eastAsia="Batang" w:hAnsi="Times" w:cs="Times"/>
          <w:b/>
          <w:bCs/>
          <w:szCs w:val="24"/>
          <w:lang w:eastAsia="x-none"/>
        </w:rPr>
        <w:t>118)</w:t>
      </w:r>
    </w:p>
    <w:p w14:paraId="3438D34D" w14:textId="77777777" w:rsidR="00034879" w:rsidRPr="00034879" w:rsidRDefault="00034879" w:rsidP="00034879">
      <w:pPr>
        <w:overflowPunct/>
        <w:autoSpaceDE/>
        <w:autoSpaceDN/>
        <w:adjustRightInd/>
        <w:spacing w:after="0"/>
        <w:textAlignment w:val="auto"/>
        <w:rPr>
          <w:rFonts w:ascii="Times" w:eastAsia="DengXian" w:hAnsi="Times" w:cs="Arial"/>
          <w:lang w:eastAsia="en-US"/>
        </w:rPr>
      </w:pPr>
      <w:r w:rsidRPr="00034879">
        <w:rPr>
          <w:rFonts w:ascii="Times" w:eastAsia="DengXian" w:hAnsi="Times" w:cs="Arial"/>
          <w:lang w:eastAsia="en-US"/>
        </w:rPr>
        <w:t xml:space="preserve">For indicating a PL offset for PDCCH-order PRACH transmission at least for FR1, support </w:t>
      </w:r>
      <w:r w:rsidRPr="00034879">
        <w:rPr>
          <w:rFonts w:ascii="Times" w:eastAsia="DengXian" w:hAnsi="Times" w:cs="Arial"/>
          <w:b/>
          <w:bCs/>
          <w:lang w:eastAsia="en-US"/>
        </w:rPr>
        <w:t>Alt3</w:t>
      </w:r>
      <w:r w:rsidRPr="00034879">
        <w:rPr>
          <w:rFonts w:ascii="Times" w:eastAsia="DengXian" w:hAnsi="Times" w:cs="Arial"/>
          <w:lang w:eastAsia="en-US"/>
        </w:rPr>
        <w:t>:</w:t>
      </w:r>
    </w:p>
    <w:p w14:paraId="030F0EA3" w14:textId="77777777" w:rsidR="00034879" w:rsidRPr="00034879" w:rsidRDefault="00034879" w:rsidP="00034879">
      <w:pPr>
        <w:numPr>
          <w:ilvl w:val="0"/>
          <w:numId w:val="45"/>
        </w:numPr>
        <w:overflowPunct/>
        <w:autoSpaceDE/>
        <w:autoSpaceDN/>
        <w:adjustRightInd/>
        <w:spacing w:after="0"/>
        <w:jc w:val="both"/>
        <w:textAlignment w:val="auto"/>
        <w:rPr>
          <w:rFonts w:ascii="Times" w:eastAsia="DengXian" w:hAnsi="Times" w:cs="Arial"/>
          <w:szCs w:val="18"/>
          <w:lang w:eastAsia="en-US"/>
        </w:rPr>
      </w:pPr>
      <w:r w:rsidRPr="00034879">
        <w:rPr>
          <w:rFonts w:ascii="Times" w:eastAsia="DengXian" w:hAnsi="Times" w:cs="Arial"/>
          <w:szCs w:val="16"/>
          <w:lang w:eastAsia="en-US"/>
        </w:rPr>
        <w:t>Alt3: The PL offset associated with one of the indicated joint/UL TCI state for UL TRP in unified TCI framework is applied on the PDCCH-order PRACH transmission</w:t>
      </w:r>
    </w:p>
    <w:p w14:paraId="73B138A3" w14:textId="77777777" w:rsidR="00034879" w:rsidRPr="00034879" w:rsidRDefault="00034879" w:rsidP="00034879">
      <w:pPr>
        <w:numPr>
          <w:ilvl w:val="1"/>
          <w:numId w:val="45"/>
        </w:numPr>
        <w:overflowPunct/>
        <w:autoSpaceDE/>
        <w:autoSpaceDN/>
        <w:adjustRightInd/>
        <w:spacing w:after="0"/>
        <w:contextualSpacing/>
        <w:textAlignment w:val="auto"/>
        <w:rPr>
          <w:rFonts w:ascii="Aptos" w:eastAsia="Malgun Gothic" w:hAnsi="Aptos"/>
          <w:szCs w:val="22"/>
          <w:lang w:eastAsia="x-none"/>
        </w:rPr>
      </w:pPr>
      <w:r w:rsidRPr="00034879">
        <w:rPr>
          <w:rFonts w:ascii="Times" w:eastAsia="DengXian" w:hAnsi="Times" w:cs="Arial"/>
          <w:lang w:eastAsia="x-none"/>
        </w:rPr>
        <w:t>FFS the detailed design of DCI format: e.g., how to indicate one of the indicated joint/UL TCI states or whether to apply the PL offset in the indicated TCI state or not.</w:t>
      </w:r>
    </w:p>
    <w:p w14:paraId="6A5A42DF" w14:textId="3DBF3E91" w:rsidR="00034879"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 xml:space="preserve">In RAN1 </w:t>
      </w:r>
      <w:r w:rsidR="00DC5CB0">
        <w:rPr>
          <w:rFonts w:ascii="Arial" w:eastAsiaTheme="minorEastAsia" w:hAnsi="Arial" w:cs="Arial"/>
          <w:bCs/>
          <w:sz w:val="22"/>
          <w:szCs w:val="22"/>
        </w:rPr>
        <w:t>11</w:t>
      </w:r>
      <w:r w:rsidR="00034879">
        <w:rPr>
          <w:rFonts w:ascii="Arial" w:eastAsiaTheme="minorEastAsia" w:hAnsi="Arial" w:cs="Arial"/>
          <w:bCs/>
          <w:sz w:val="22"/>
          <w:szCs w:val="22"/>
        </w:rPr>
        <w:t>8</w:t>
      </w:r>
      <w:r w:rsidR="00EF5EEA">
        <w:rPr>
          <w:rFonts w:ascii="Arial" w:eastAsiaTheme="minorEastAsia" w:hAnsi="Arial" w:cs="Arial"/>
          <w:bCs/>
          <w:sz w:val="22"/>
          <w:szCs w:val="22"/>
        </w:rPr>
        <w:t xml:space="preserve"> </w:t>
      </w:r>
      <w:r>
        <w:rPr>
          <w:rFonts w:ascii="Arial" w:eastAsiaTheme="minorEastAsia" w:hAnsi="Arial" w:cs="Arial"/>
          <w:bCs/>
          <w:sz w:val="22"/>
          <w:szCs w:val="22"/>
        </w:rPr>
        <w:t xml:space="preserve">meeting, </w:t>
      </w:r>
      <w:r w:rsidR="00DC5CB0">
        <w:rPr>
          <w:rFonts w:ascii="Arial" w:eastAsiaTheme="minorEastAsia" w:hAnsi="Arial" w:cs="Arial"/>
          <w:bCs/>
          <w:sz w:val="22"/>
          <w:szCs w:val="22"/>
        </w:rPr>
        <w:t xml:space="preserve">one remaining issue is </w:t>
      </w:r>
      <w:r w:rsidR="00034879">
        <w:rPr>
          <w:rFonts w:ascii="Arial" w:eastAsiaTheme="minorEastAsia" w:hAnsi="Arial" w:cs="Arial"/>
          <w:bCs/>
          <w:sz w:val="22"/>
          <w:szCs w:val="22"/>
        </w:rPr>
        <w:t>the detail</w:t>
      </w:r>
      <w:r w:rsidR="007500DF">
        <w:rPr>
          <w:rFonts w:ascii="Arial" w:eastAsiaTheme="minorEastAsia" w:hAnsi="Arial" w:cs="Arial"/>
          <w:bCs/>
          <w:sz w:val="22"/>
          <w:szCs w:val="22"/>
        </w:rPr>
        <w:t>ed</w:t>
      </w:r>
      <w:r w:rsidR="00034879">
        <w:rPr>
          <w:rFonts w:ascii="Arial" w:eastAsiaTheme="minorEastAsia" w:hAnsi="Arial" w:cs="Arial"/>
          <w:bCs/>
          <w:sz w:val="22"/>
          <w:szCs w:val="22"/>
        </w:rPr>
        <w:t xml:space="preserve"> design of DCI format for indicating PL offset for PDCCH-order PRACH transmission. In our </w:t>
      </w:r>
      <w:r w:rsidR="00CA4240">
        <w:rPr>
          <w:rFonts w:ascii="Arial" w:eastAsiaTheme="minorEastAsia" w:hAnsi="Arial" w:cs="Arial"/>
          <w:bCs/>
          <w:sz w:val="22"/>
          <w:szCs w:val="22"/>
        </w:rPr>
        <w:t>view</w:t>
      </w:r>
      <w:r w:rsidR="00034879">
        <w:rPr>
          <w:rFonts w:ascii="Arial" w:eastAsiaTheme="minorEastAsia" w:hAnsi="Arial" w:cs="Arial"/>
          <w:bCs/>
          <w:sz w:val="22"/>
          <w:szCs w:val="22"/>
        </w:rPr>
        <w:t xml:space="preserve">, one bit field in the PDCCH order could be introduced for indicating the PRACH transmission </w:t>
      </w:r>
      <w:r w:rsidR="00CA4240">
        <w:rPr>
          <w:rFonts w:ascii="Arial" w:eastAsiaTheme="minorEastAsia" w:hAnsi="Arial" w:cs="Arial"/>
          <w:bCs/>
          <w:sz w:val="22"/>
          <w:szCs w:val="22"/>
        </w:rPr>
        <w:t>being</w:t>
      </w:r>
      <w:r w:rsidR="00034879">
        <w:rPr>
          <w:rFonts w:ascii="Arial" w:eastAsiaTheme="minorEastAsia" w:hAnsi="Arial" w:cs="Arial"/>
          <w:bCs/>
          <w:sz w:val="22"/>
          <w:szCs w:val="22"/>
        </w:rPr>
        <w:t xml:space="preserve"> associated with </w:t>
      </w:r>
      <w:r w:rsidR="00CA4240">
        <w:rPr>
          <w:rFonts w:ascii="Arial" w:eastAsiaTheme="minorEastAsia" w:hAnsi="Arial" w:cs="Arial"/>
          <w:bCs/>
          <w:sz w:val="22"/>
          <w:szCs w:val="22"/>
        </w:rPr>
        <w:t xml:space="preserve">either </w:t>
      </w:r>
      <w:r w:rsidR="00034879">
        <w:rPr>
          <w:rFonts w:ascii="Arial" w:eastAsiaTheme="minorEastAsia" w:hAnsi="Arial" w:cs="Arial"/>
          <w:bCs/>
          <w:sz w:val="22"/>
          <w:szCs w:val="22"/>
        </w:rPr>
        <w:t xml:space="preserve">1-st joint/UL TCI state or 2-nd joint/UL TCI state. According to the associated PL offset value of the indicated </w:t>
      </w:r>
      <w:r w:rsidR="00CA4240">
        <w:rPr>
          <w:rFonts w:ascii="Arial" w:eastAsiaTheme="minorEastAsia" w:hAnsi="Arial" w:cs="Arial"/>
          <w:bCs/>
          <w:sz w:val="22"/>
          <w:szCs w:val="22"/>
        </w:rPr>
        <w:t xml:space="preserve">1-st or 2-nd </w:t>
      </w:r>
      <w:r w:rsidR="00034879">
        <w:rPr>
          <w:rFonts w:ascii="Arial" w:eastAsiaTheme="minorEastAsia" w:hAnsi="Arial" w:cs="Arial"/>
          <w:bCs/>
          <w:sz w:val="22"/>
          <w:szCs w:val="22"/>
        </w:rPr>
        <w:t xml:space="preserve">joint/UL TCI state, the associated PL offset value could be applied for </w:t>
      </w:r>
      <w:r w:rsidR="00CA4240">
        <w:rPr>
          <w:rFonts w:ascii="Arial" w:eastAsiaTheme="minorEastAsia" w:hAnsi="Arial" w:cs="Arial"/>
          <w:bCs/>
          <w:sz w:val="22"/>
          <w:szCs w:val="22"/>
        </w:rPr>
        <w:t xml:space="preserve">determining </w:t>
      </w:r>
      <w:r w:rsidR="00034879">
        <w:rPr>
          <w:rFonts w:ascii="Arial" w:eastAsiaTheme="minorEastAsia" w:hAnsi="Arial" w:cs="Arial"/>
          <w:bCs/>
          <w:sz w:val="22"/>
          <w:szCs w:val="22"/>
        </w:rPr>
        <w:t xml:space="preserve">transmit power of PRACH transmission. In addition, there was a discussion that whether the one bit field corresponds to a new introduced bit field or repurposes a legacy field. Our view is both could work, and we slightly prefer to introduce </w:t>
      </w:r>
      <w:r w:rsidR="00CA4240">
        <w:rPr>
          <w:rFonts w:ascii="Arial" w:eastAsiaTheme="minorEastAsia" w:hAnsi="Arial" w:cs="Arial"/>
          <w:bCs/>
          <w:sz w:val="22"/>
          <w:szCs w:val="22"/>
        </w:rPr>
        <w:t xml:space="preserve">a </w:t>
      </w:r>
      <w:r w:rsidR="00034879">
        <w:rPr>
          <w:rFonts w:ascii="Arial" w:eastAsiaTheme="minorEastAsia" w:hAnsi="Arial" w:cs="Arial"/>
          <w:bCs/>
          <w:sz w:val="22"/>
          <w:szCs w:val="22"/>
        </w:rPr>
        <w:t>new bit field. As agreed in last RAN plenary, scope of Rel-19 MIMO include</w:t>
      </w:r>
      <w:r w:rsidR="00342730">
        <w:rPr>
          <w:rFonts w:ascii="Arial" w:eastAsiaTheme="minorEastAsia" w:hAnsi="Arial" w:cs="Arial"/>
          <w:bCs/>
          <w:sz w:val="22"/>
          <w:szCs w:val="22"/>
        </w:rPr>
        <w:t>s</w:t>
      </w:r>
      <w:r w:rsidR="00034879">
        <w:rPr>
          <w:rFonts w:ascii="Arial" w:eastAsiaTheme="minorEastAsia" w:hAnsi="Arial" w:cs="Arial"/>
          <w:bCs/>
          <w:sz w:val="22"/>
          <w:szCs w:val="22"/>
        </w:rPr>
        <w:t xml:space="preserve"> 2TA design of sDCI mTRP</w:t>
      </w:r>
      <w:r w:rsidR="00342730">
        <w:rPr>
          <w:rFonts w:ascii="Arial" w:eastAsiaTheme="minorEastAsia" w:hAnsi="Arial" w:cs="Arial"/>
          <w:bCs/>
          <w:sz w:val="22"/>
          <w:szCs w:val="22"/>
        </w:rPr>
        <w:t xml:space="preserve"> which means </w:t>
      </w:r>
      <w:r w:rsidR="00034879">
        <w:rPr>
          <w:rFonts w:ascii="Arial" w:eastAsiaTheme="minorEastAsia" w:hAnsi="Arial" w:cs="Arial"/>
          <w:bCs/>
          <w:sz w:val="22"/>
          <w:szCs w:val="22"/>
        </w:rPr>
        <w:t xml:space="preserve">legacy bit field </w:t>
      </w:r>
      <w:r w:rsidR="00342730">
        <w:rPr>
          <w:rFonts w:ascii="Arial" w:eastAsiaTheme="minorEastAsia" w:hAnsi="Arial" w:cs="Arial"/>
          <w:bCs/>
          <w:sz w:val="22"/>
          <w:szCs w:val="22"/>
        </w:rPr>
        <w:t>for 2TA of mDCI mTRP will</w:t>
      </w:r>
      <w:r w:rsidR="00034879">
        <w:rPr>
          <w:rFonts w:ascii="Arial" w:eastAsiaTheme="minorEastAsia" w:hAnsi="Arial" w:cs="Arial"/>
          <w:bCs/>
          <w:sz w:val="22"/>
          <w:szCs w:val="22"/>
        </w:rPr>
        <w:t xml:space="preserve"> not </w:t>
      </w:r>
      <w:r w:rsidR="00342730">
        <w:rPr>
          <w:rFonts w:ascii="Arial" w:eastAsiaTheme="minorEastAsia" w:hAnsi="Arial" w:cs="Arial"/>
          <w:bCs/>
          <w:sz w:val="22"/>
          <w:szCs w:val="22"/>
        </w:rPr>
        <w:t xml:space="preserve">exist. In this sense, introducing one new bit field for this purpose seems more reasonable. </w:t>
      </w:r>
    </w:p>
    <w:p w14:paraId="11FBC1BF" w14:textId="77777777" w:rsidR="00342730" w:rsidRDefault="00C10222" w:rsidP="003427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342730">
        <w:rPr>
          <w:rFonts w:ascii="Arial" w:eastAsiaTheme="minorEastAsia" w:hAnsi="Arial" w:cs="Arial"/>
          <w:b/>
          <w:bCs/>
          <w:sz w:val="22"/>
          <w:szCs w:val="22"/>
        </w:rPr>
        <w:t>Introduce one new bit field in PDCCH-order for indicating PL offset value for PRACH transmission:</w:t>
      </w:r>
    </w:p>
    <w:p w14:paraId="19A9D5C9" w14:textId="18BC7DCF" w:rsidR="00342730" w:rsidRPr="00196F03" w:rsidRDefault="00342730"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0: PL offset value associated with 1-st indicated joint/UL TCI state</w:t>
      </w:r>
    </w:p>
    <w:p w14:paraId="16914033" w14:textId="0FFF055C" w:rsidR="0096558F" w:rsidRPr="00196F03" w:rsidRDefault="00342730"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1: PL offset value associated with 2-nd indicated joint/UL TCI state</w:t>
      </w:r>
    </w:p>
    <w:p w14:paraId="4A72B226" w14:textId="3F75709A" w:rsidR="00F72972" w:rsidRDefault="00F72972" w:rsidP="00F72972">
      <w:pPr>
        <w:pStyle w:val="4"/>
      </w:pPr>
      <w:r>
        <w:t>PHR</w:t>
      </w:r>
    </w:p>
    <w:p w14:paraId="03D3D312" w14:textId="6709533B" w:rsidR="00196F03" w:rsidRPr="00196F03" w:rsidRDefault="00196F03" w:rsidP="00196F03">
      <w:pPr>
        <w:overflowPunct/>
        <w:autoSpaceDE/>
        <w:autoSpaceDN/>
        <w:adjustRightInd/>
        <w:spacing w:after="0"/>
        <w:textAlignment w:val="auto"/>
        <w:rPr>
          <w:rFonts w:ascii="Times" w:eastAsia="Batang" w:hAnsi="Times" w:cs="Times"/>
          <w:b/>
          <w:bCs/>
          <w:szCs w:val="24"/>
          <w:highlight w:val="green"/>
          <w:lang w:eastAsia="x-none"/>
        </w:rPr>
      </w:pPr>
      <w:r w:rsidRPr="00196F03">
        <w:rPr>
          <w:rFonts w:ascii="Times" w:eastAsia="Batang" w:hAnsi="Times" w:cs="Times"/>
          <w:b/>
          <w:bCs/>
          <w:szCs w:val="24"/>
          <w:highlight w:val="green"/>
          <w:lang w:eastAsia="x-none"/>
        </w:rPr>
        <w:t>Agreement</w:t>
      </w:r>
      <w:r>
        <w:rPr>
          <w:rFonts w:ascii="Times" w:eastAsia="Batang" w:hAnsi="Times" w:cs="Times"/>
          <w:b/>
          <w:bCs/>
          <w:szCs w:val="24"/>
          <w:lang w:eastAsia="x-none"/>
        </w:rPr>
        <w:t xml:space="preserve"> </w:t>
      </w:r>
      <w:r w:rsidRPr="00034879">
        <w:rPr>
          <w:rFonts w:ascii="Times" w:eastAsia="Batang" w:hAnsi="Times" w:cs="Times"/>
          <w:b/>
          <w:bCs/>
          <w:szCs w:val="24"/>
          <w:lang w:eastAsia="x-none"/>
        </w:rPr>
        <w:t>(</w:t>
      </w:r>
      <w:r>
        <w:rPr>
          <w:rFonts w:ascii="Times" w:eastAsia="Batang" w:hAnsi="Times" w:cs="Times"/>
          <w:b/>
          <w:bCs/>
          <w:szCs w:val="24"/>
          <w:lang w:eastAsia="x-none"/>
        </w:rPr>
        <w:t>RAN1 #</w:t>
      </w:r>
      <w:r w:rsidRPr="00034879">
        <w:rPr>
          <w:rFonts w:ascii="Times" w:eastAsia="Batang" w:hAnsi="Times" w:cs="Times"/>
          <w:b/>
          <w:bCs/>
          <w:szCs w:val="24"/>
          <w:lang w:eastAsia="x-none"/>
        </w:rPr>
        <w:t>118)</w:t>
      </w:r>
    </w:p>
    <w:p w14:paraId="7055181A" w14:textId="77777777" w:rsidR="00196F03" w:rsidRPr="00196F03" w:rsidRDefault="00196F03" w:rsidP="00196F03">
      <w:pPr>
        <w:overflowPunct/>
        <w:autoSpaceDE/>
        <w:autoSpaceDN/>
        <w:adjustRightInd/>
        <w:spacing w:after="0"/>
        <w:jc w:val="both"/>
        <w:textAlignment w:val="auto"/>
        <w:rPr>
          <w:rFonts w:eastAsia="DengXian"/>
          <w:lang w:eastAsia="zh-CN"/>
        </w:rPr>
      </w:pPr>
      <w:r w:rsidRPr="00196F03">
        <w:rPr>
          <w:rFonts w:eastAsia="DengXian"/>
          <w:szCs w:val="18"/>
          <w:lang w:eastAsia="zh-CN"/>
        </w:rPr>
        <w:lastRenderedPageBreak/>
        <w:t xml:space="preserve">For the asymmetric DL sTRP/UL mTRP scenarios, support to include PL offset in the calculation of </w:t>
      </w:r>
      <w:r w:rsidRPr="00196F03">
        <w:rPr>
          <w:rFonts w:eastAsia="DengXian"/>
          <w:lang w:eastAsia="zh-CN"/>
        </w:rPr>
        <w:t>Type 1 PHR based on actual PUSCH transmission and Type 1 PHR based on reference PUSCH</w:t>
      </w:r>
    </w:p>
    <w:p w14:paraId="3DEF6242" w14:textId="1CD0E63A" w:rsidR="00196F03" w:rsidRPr="00196F03" w:rsidRDefault="00196F03" w:rsidP="00196F03">
      <w:pPr>
        <w:overflowPunct/>
        <w:autoSpaceDE/>
        <w:autoSpaceDN/>
        <w:adjustRightInd/>
        <w:spacing w:after="0"/>
        <w:textAlignment w:val="auto"/>
        <w:rPr>
          <w:rFonts w:ascii="Times" w:eastAsia="Batang" w:hAnsi="Times"/>
          <w:b/>
          <w:bCs/>
          <w:szCs w:val="24"/>
          <w:lang w:val="en-US" w:eastAsia="en-US"/>
        </w:rPr>
      </w:pPr>
      <w:r w:rsidRPr="00196F03">
        <w:rPr>
          <w:rFonts w:ascii="Times" w:eastAsia="Batang" w:hAnsi="Times"/>
          <w:b/>
          <w:bCs/>
          <w:szCs w:val="24"/>
          <w:highlight w:val="green"/>
          <w:lang w:val="en-US" w:eastAsia="en-US"/>
        </w:rPr>
        <w:t>Agreement</w:t>
      </w:r>
      <w:r>
        <w:rPr>
          <w:rFonts w:ascii="Times" w:eastAsia="Batang" w:hAnsi="Times"/>
          <w:b/>
          <w:bCs/>
          <w:szCs w:val="24"/>
          <w:lang w:val="en-US" w:eastAsia="en-US"/>
        </w:rPr>
        <w:t xml:space="preserve"> </w:t>
      </w:r>
      <w:r w:rsidRPr="00034879">
        <w:rPr>
          <w:rFonts w:ascii="Times" w:eastAsia="Batang" w:hAnsi="Times" w:cs="Times"/>
          <w:b/>
          <w:bCs/>
          <w:szCs w:val="24"/>
          <w:lang w:eastAsia="x-none"/>
        </w:rPr>
        <w:t>(</w:t>
      </w:r>
      <w:r>
        <w:rPr>
          <w:rFonts w:ascii="Times" w:eastAsia="Batang" w:hAnsi="Times" w:cs="Times"/>
          <w:b/>
          <w:bCs/>
          <w:szCs w:val="24"/>
          <w:lang w:eastAsia="x-none"/>
        </w:rPr>
        <w:t>RAN1 #</w:t>
      </w:r>
      <w:r w:rsidRPr="00034879">
        <w:rPr>
          <w:rFonts w:ascii="Times" w:eastAsia="Batang" w:hAnsi="Times" w:cs="Times"/>
          <w:b/>
          <w:bCs/>
          <w:szCs w:val="24"/>
          <w:lang w:eastAsia="x-none"/>
        </w:rPr>
        <w:t>118)</w:t>
      </w:r>
    </w:p>
    <w:p w14:paraId="2399514D" w14:textId="77777777" w:rsidR="00196F03" w:rsidRPr="00196F03" w:rsidRDefault="00196F03" w:rsidP="00196F03">
      <w:pPr>
        <w:overflowPunct/>
        <w:autoSpaceDE/>
        <w:autoSpaceDN/>
        <w:adjustRightInd/>
        <w:spacing w:after="0"/>
        <w:textAlignment w:val="auto"/>
        <w:rPr>
          <w:rFonts w:ascii="Times" w:eastAsia="DengXian" w:hAnsi="Times" w:cs="Batang"/>
          <w:lang w:val="en-CA" w:eastAsia="en-US"/>
        </w:rPr>
      </w:pPr>
      <w:r w:rsidRPr="00196F03">
        <w:rPr>
          <w:rFonts w:ascii="Times" w:eastAsia="DengXian" w:hAnsi="Times" w:cs="Batang"/>
          <w:lang w:val="en-CA" w:eastAsia="en-US"/>
        </w:rPr>
        <w:t>Study whether to support Type 3 PHR reporting in a serving cell/BWP where the UE is configured with two separate SRS CLPC adjustment states.</w:t>
      </w:r>
    </w:p>
    <w:p w14:paraId="4BD0A9D9" w14:textId="77777777" w:rsidR="00196F03" w:rsidRPr="00196F03" w:rsidRDefault="00196F03" w:rsidP="00196F03">
      <w:pPr>
        <w:numPr>
          <w:ilvl w:val="0"/>
          <w:numId w:val="48"/>
        </w:numPr>
        <w:overflowPunct/>
        <w:autoSpaceDE/>
        <w:autoSpaceDN/>
        <w:adjustRightInd/>
        <w:spacing w:after="0"/>
        <w:contextualSpacing/>
        <w:textAlignment w:val="auto"/>
        <w:rPr>
          <w:rFonts w:ascii="Times" w:eastAsia="DengXian" w:hAnsi="Times"/>
          <w:lang w:val="en-CA" w:eastAsia="x-none"/>
        </w:rPr>
      </w:pPr>
      <w:r w:rsidRPr="00196F03">
        <w:rPr>
          <w:rFonts w:ascii="Times" w:eastAsia="DengXian" w:hAnsi="Times" w:cs="Arial"/>
          <w:lang w:val="en-CA" w:eastAsia="x-none"/>
        </w:rPr>
        <w:t>Continue to study whether to support including PL offset in the calculation of Type 3 PHR.</w:t>
      </w:r>
    </w:p>
    <w:p w14:paraId="7B549AE7" w14:textId="3B54FF1C" w:rsidR="004E43FF" w:rsidRDefault="00F72972" w:rsidP="00F72972">
      <w:pPr>
        <w:jc w:val="both"/>
        <w:rPr>
          <w:rFonts w:ascii="Arial" w:eastAsiaTheme="minorEastAsia" w:hAnsi="Arial" w:cs="Arial"/>
          <w:bCs/>
          <w:sz w:val="22"/>
          <w:szCs w:val="22"/>
        </w:rPr>
      </w:pPr>
      <w:r>
        <w:rPr>
          <w:rFonts w:ascii="Arial" w:eastAsiaTheme="minorEastAsia" w:hAnsi="Arial" w:cs="Arial"/>
          <w:bCs/>
          <w:sz w:val="22"/>
          <w:szCs w:val="22"/>
        </w:rPr>
        <w:t>In previous RAN1 meeting,</w:t>
      </w:r>
      <w:r w:rsidR="00D11801">
        <w:rPr>
          <w:rFonts w:ascii="Arial" w:eastAsiaTheme="minorEastAsia" w:hAnsi="Arial" w:cs="Arial"/>
          <w:bCs/>
          <w:sz w:val="22"/>
          <w:szCs w:val="22"/>
        </w:rPr>
        <w:t xml:space="preserve"> </w:t>
      </w:r>
      <w:r w:rsidR="004E43FF">
        <w:rPr>
          <w:rFonts w:ascii="Arial" w:eastAsiaTheme="minorEastAsia" w:hAnsi="Arial" w:cs="Arial"/>
          <w:bCs/>
          <w:sz w:val="22"/>
          <w:szCs w:val="22"/>
        </w:rPr>
        <w:t>RAN1 has agreed to include PL offset in the calculation of Type 1 PHR. One</w:t>
      </w:r>
      <w:r w:rsidR="00D11801">
        <w:rPr>
          <w:rFonts w:ascii="Arial" w:eastAsiaTheme="minorEastAsia" w:hAnsi="Arial" w:cs="Arial"/>
          <w:bCs/>
          <w:sz w:val="22"/>
          <w:szCs w:val="22"/>
        </w:rPr>
        <w:t xml:space="preserve"> left study point corresponds to </w:t>
      </w:r>
      <w:r w:rsidR="004E43FF">
        <w:rPr>
          <w:rFonts w:ascii="Arial" w:eastAsiaTheme="minorEastAsia" w:hAnsi="Arial" w:cs="Arial"/>
          <w:bCs/>
          <w:sz w:val="22"/>
          <w:szCs w:val="22"/>
        </w:rPr>
        <w:t xml:space="preserve">whether to include PL offset in calculation of Type 3 PHR. </w:t>
      </w:r>
      <w:r w:rsidR="00E53D48">
        <w:rPr>
          <w:rFonts w:ascii="Arial" w:eastAsiaTheme="minorEastAsia" w:hAnsi="Arial" w:cs="Arial"/>
          <w:bCs/>
          <w:sz w:val="22"/>
          <w:szCs w:val="22"/>
        </w:rPr>
        <w:t>A</w:t>
      </w:r>
      <w:r w:rsidR="00BC7A60">
        <w:rPr>
          <w:rFonts w:ascii="Arial" w:eastAsiaTheme="minorEastAsia" w:hAnsi="Arial" w:cs="Arial"/>
          <w:bCs/>
          <w:sz w:val="22"/>
          <w:szCs w:val="22"/>
        </w:rPr>
        <w:t xml:space="preserve">ccording to legacy spec, </w:t>
      </w:r>
      <w:r w:rsidR="004E43FF">
        <w:rPr>
          <w:rFonts w:ascii="Arial" w:eastAsiaTheme="minorEastAsia" w:hAnsi="Arial" w:cs="Arial"/>
          <w:bCs/>
          <w:sz w:val="22"/>
          <w:szCs w:val="22"/>
        </w:rPr>
        <w:t xml:space="preserve">Type-3 PHR is reported for one serving cell when there is no PUSCH-config </w:t>
      </w:r>
      <w:r w:rsidR="00E53D48">
        <w:rPr>
          <w:rFonts w:ascii="Arial" w:eastAsiaTheme="minorEastAsia" w:hAnsi="Arial" w:cs="Arial"/>
          <w:bCs/>
          <w:sz w:val="22"/>
          <w:szCs w:val="22"/>
        </w:rPr>
        <w:t>for the one serving cell.</w:t>
      </w:r>
      <w:r w:rsidR="00491052">
        <w:rPr>
          <w:rFonts w:ascii="Arial" w:eastAsiaTheme="minorEastAsia" w:hAnsi="Arial" w:cs="Arial"/>
          <w:bCs/>
          <w:sz w:val="22"/>
          <w:szCs w:val="22"/>
        </w:rPr>
        <w:t xml:space="preserve"> On the other hands, Rel-19 </w:t>
      </w:r>
      <w:r w:rsidR="00E53D48">
        <w:rPr>
          <w:rFonts w:ascii="Arial" w:eastAsiaTheme="minorEastAsia" w:hAnsi="Arial" w:cs="Arial"/>
          <w:bCs/>
          <w:sz w:val="22"/>
          <w:szCs w:val="22"/>
        </w:rPr>
        <w:t>asymmetric DL sTRP and UL mTRP scenario</w:t>
      </w:r>
      <w:r w:rsidR="00491052">
        <w:rPr>
          <w:rFonts w:ascii="Arial" w:eastAsiaTheme="minorEastAsia" w:hAnsi="Arial" w:cs="Arial"/>
          <w:bCs/>
          <w:sz w:val="22"/>
          <w:szCs w:val="22"/>
        </w:rPr>
        <w:t xml:space="preserve"> seems more likely to have PUSCH-config since </w:t>
      </w:r>
      <w:r w:rsidR="00165657">
        <w:rPr>
          <w:rFonts w:ascii="Arial" w:eastAsiaTheme="minorEastAsia" w:hAnsi="Arial" w:cs="Arial"/>
          <w:bCs/>
          <w:sz w:val="22"/>
          <w:szCs w:val="22"/>
        </w:rPr>
        <w:t xml:space="preserve">justification of WID is to improve </w:t>
      </w:r>
      <w:r w:rsidR="00165657" w:rsidRPr="00165657">
        <w:rPr>
          <w:rFonts w:ascii="Arial" w:eastAsiaTheme="minorEastAsia" w:hAnsi="Arial" w:cs="Arial"/>
          <w:bCs/>
          <w:sz w:val="22"/>
          <w:szCs w:val="22"/>
        </w:rPr>
        <w:t>UL throughput</w:t>
      </w:r>
      <w:r w:rsidR="000F2DF9">
        <w:rPr>
          <w:rFonts w:ascii="Arial" w:eastAsiaTheme="minorEastAsia" w:hAnsi="Arial" w:cs="Arial" w:hint="eastAsia"/>
          <w:bCs/>
          <w:sz w:val="22"/>
          <w:szCs w:val="22"/>
        </w:rPr>
        <w:t xml:space="preserve"> </w:t>
      </w:r>
      <w:r w:rsidR="00412827">
        <w:rPr>
          <w:rFonts w:ascii="Arial" w:eastAsiaTheme="minorEastAsia" w:hAnsi="Arial" w:cs="Arial"/>
          <w:bCs/>
          <w:sz w:val="22"/>
          <w:szCs w:val="22"/>
        </w:rPr>
        <w:t xml:space="preserve">via </w:t>
      </w:r>
      <w:r w:rsidR="000F2DF9">
        <w:rPr>
          <w:rFonts w:ascii="Arial" w:eastAsiaTheme="minorEastAsia" w:hAnsi="Arial" w:cs="Arial"/>
          <w:bCs/>
          <w:sz w:val="22"/>
          <w:szCs w:val="22"/>
        </w:rPr>
        <w:t>HetNet</w:t>
      </w:r>
      <w:r w:rsidR="00491052">
        <w:rPr>
          <w:rFonts w:ascii="Arial" w:eastAsiaTheme="minorEastAsia" w:hAnsi="Arial" w:cs="Arial"/>
          <w:bCs/>
          <w:sz w:val="22"/>
          <w:szCs w:val="22"/>
        </w:rPr>
        <w:t xml:space="preserve">. </w:t>
      </w:r>
      <w:r w:rsidR="00A84B7C">
        <w:rPr>
          <w:rFonts w:ascii="Arial" w:eastAsiaTheme="minorEastAsia" w:hAnsi="Arial" w:cs="Arial"/>
          <w:bCs/>
          <w:sz w:val="22"/>
          <w:szCs w:val="22"/>
        </w:rPr>
        <w:t>Thus, we think there is no need to include PL offset in the calculation of Type 3 PHR.</w:t>
      </w:r>
    </w:p>
    <w:p w14:paraId="20E1EDC8" w14:textId="03DB8B0E" w:rsidR="00F72972" w:rsidRDefault="00F72972" w:rsidP="00F7297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A84B7C">
        <w:rPr>
          <w:rFonts w:ascii="Arial" w:eastAsiaTheme="minorEastAsia" w:hAnsi="Arial" w:cs="Arial"/>
          <w:b/>
          <w:bCs/>
          <w:sz w:val="22"/>
          <w:szCs w:val="22"/>
        </w:rPr>
        <w:t xml:space="preserve">RAN1 makes </w:t>
      </w:r>
      <w:r w:rsidR="00191016">
        <w:rPr>
          <w:rFonts w:ascii="Arial" w:eastAsiaTheme="minorEastAsia" w:hAnsi="Arial" w:cs="Arial"/>
          <w:b/>
          <w:bCs/>
          <w:sz w:val="22"/>
          <w:szCs w:val="22"/>
        </w:rPr>
        <w:t xml:space="preserve">a </w:t>
      </w:r>
      <w:r w:rsidR="00A84B7C">
        <w:rPr>
          <w:rFonts w:ascii="Arial" w:eastAsiaTheme="minorEastAsia" w:hAnsi="Arial" w:cs="Arial"/>
          <w:b/>
          <w:bCs/>
          <w:sz w:val="22"/>
          <w:szCs w:val="22"/>
        </w:rPr>
        <w:t xml:space="preserve">conclusion that </w:t>
      </w:r>
      <w:r w:rsidR="00A84B7C" w:rsidRPr="00A84B7C">
        <w:rPr>
          <w:rFonts w:ascii="Arial" w:eastAsiaTheme="minorEastAsia" w:hAnsi="Arial" w:cs="Arial"/>
          <w:b/>
          <w:bCs/>
          <w:sz w:val="22"/>
          <w:szCs w:val="22"/>
        </w:rPr>
        <w:t>there is no need to include PL offset in the calculation of Type 3 PHR</w:t>
      </w:r>
      <w:r w:rsidR="00C83C37">
        <w:rPr>
          <w:rFonts w:ascii="Arial" w:eastAsiaTheme="minorEastAsia" w:hAnsi="Arial" w:cs="Arial"/>
          <w:b/>
          <w:bCs/>
          <w:sz w:val="22"/>
          <w:szCs w:val="22"/>
        </w:rPr>
        <w:t>.</w:t>
      </w:r>
    </w:p>
    <w:p w14:paraId="21352060" w14:textId="49E49ABC" w:rsidR="00A84B7C" w:rsidRPr="00A84B7C" w:rsidRDefault="00A84B7C" w:rsidP="00A84B7C">
      <w:pPr>
        <w:pStyle w:val="4"/>
      </w:pPr>
      <w:r>
        <w:t xml:space="preserve">PL offset </w:t>
      </w:r>
      <w:r w:rsidRPr="00A84B7C">
        <w:t>for SRS resource set</w:t>
      </w:r>
    </w:p>
    <w:p w14:paraId="3889CD9C" w14:textId="11666B75" w:rsidR="00A84B7C" w:rsidRPr="00196F03" w:rsidRDefault="00A84B7C" w:rsidP="00A84B7C">
      <w:pPr>
        <w:overflowPunct/>
        <w:autoSpaceDE/>
        <w:autoSpaceDN/>
        <w:adjustRightInd/>
        <w:spacing w:after="0"/>
        <w:textAlignment w:val="auto"/>
        <w:rPr>
          <w:rFonts w:ascii="Times" w:eastAsia="Batang" w:hAnsi="Times"/>
          <w:b/>
          <w:bCs/>
          <w:szCs w:val="24"/>
          <w:lang w:val="en-US" w:eastAsia="en-US"/>
        </w:rPr>
      </w:pPr>
      <w:r w:rsidRPr="00196F03">
        <w:rPr>
          <w:rFonts w:ascii="Times" w:eastAsia="Batang" w:hAnsi="Times"/>
          <w:b/>
          <w:bCs/>
          <w:szCs w:val="24"/>
          <w:highlight w:val="green"/>
          <w:lang w:val="en-US" w:eastAsia="en-US"/>
        </w:rPr>
        <w:t>Agreement</w:t>
      </w:r>
      <w:r>
        <w:rPr>
          <w:rFonts w:ascii="Times" w:eastAsia="Batang" w:hAnsi="Times"/>
          <w:b/>
          <w:bCs/>
          <w:szCs w:val="24"/>
          <w:lang w:val="en-US" w:eastAsia="en-US"/>
        </w:rPr>
        <w:t xml:space="preserve"> </w:t>
      </w:r>
      <w:r w:rsidRPr="00034879">
        <w:rPr>
          <w:rFonts w:ascii="Times" w:eastAsia="Batang" w:hAnsi="Times" w:cs="Times"/>
          <w:b/>
          <w:bCs/>
          <w:szCs w:val="24"/>
          <w:lang w:eastAsia="x-none"/>
        </w:rPr>
        <w:t>(</w:t>
      </w:r>
      <w:r>
        <w:rPr>
          <w:rFonts w:ascii="Times" w:eastAsia="Batang" w:hAnsi="Times" w:cs="Times"/>
          <w:b/>
          <w:bCs/>
          <w:szCs w:val="24"/>
          <w:lang w:eastAsia="x-none"/>
        </w:rPr>
        <w:t>RAN1 #</w:t>
      </w:r>
      <w:r w:rsidRPr="00034879">
        <w:rPr>
          <w:rFonts w:ascii="Times" w:eastAsia="Batang" w:hAnsi="Times" w:cs="Times"/>
          <w:b/>
          <w:bCs/>
          <w:szCs w:val="24"/>
          <w:lang w:eastAsia="x-none"/>
        </w:rPr>
        <w:t>118)</w:t>
      </w:r>
    </w:p>
    <w:p w14:paraId="19A19F83" w14:textId="77777777" w:rsidR="00A84B7C" w:rsidRPr="00196F03" w:rsidRDefault="00A84B7C" w:rsidP="00A84B7C">
      <w:pPr>
        <w:numPr>
          <w:ilvl w:val="0"/>
          <w:numId w:val="49"/>
        </w:numPr>
        <w:overflowPunct/>
        <w:autoSpaceDE/>
        <w:autoSpaceDN/>
        <w:adjustRightInd/>
        <w:spacing w:after="0"/>
        <w:jc w:val="both"/>
        <w:textAlignment w:val="auto"/>
        <w:rPr>
          <w:rFonts w:ascii="Times" w:eastAsia="DengXian" w:hAnsi="Times"/>
          <w:lang w:val="en-CA" w:eastAsia="zh-CN"/>
        </w:rPr>
      </w:pPr>
      <w:r w:rsidRPr="00196F03">
        <w:rPr>
          <w:rFonts w:ascii="Times" w:eastAsia="DengXian" w:hAnsi="Times"/>
          <w:lang w:val="en-CA" w:eastAsia="zh-CN"/>
        </w:rPr>
        <w:t>Study whether/how to apply PL offset for SRS resource set when the SRS resource set is not configured with TCI state</w:t>
      </w:r>
    </w:p>
    <w:p w14:paraId="687113CB" w14:textId="77777777" w:rsidR="00A84B7C" w:rsidRPr="00196F03" w:rsidRDefault="00A84B7C" w:rsidP="00A84B7C">
      <w:pPr>
        <w:numPr>
          <w:ilvl w:val="0"/>
          <w:numId w:val="49"/>
        </w:numPr>
        <w:overflowPunct/>
        <w:autoSpaceDE/>
        <w:autoSpaceDN/>
        <w:adjustRightInd/>
        <w:spacing w:after="0"/>
        <w:jc w:val="both"/>
        <w:textAlignment w:val="auto"/>
        <w:rPr>
          <w:rFonts w:ascii="Times" w:eastAsia="DengXian" w:hAnsi="Times"/>
          <w:lang w:val="en-CA" w:eastAsia="zh-CN"/>
        </w:rPr>
      </w:pPr>
      <w:r w:rsidRPr="00196F03">
        <w:rPr>
          <w:rFonts w:ascii="Times" w:eastAsia="DengXian" w:hAnsi="Times"/>
          <w:lang w:val="en-CA" w:eastAsia="zh-CN"/>
        </w:rPr>
        <w:t>Study whether/how to apply one of the two separate SRS CLPC adjustment states on the SRS resource set when the SRS resource set is not configured with TCI state</w:t>
      </w:r>
    </w:p>
    <w:p w14:paraId="55113D38" w14:textId="77777777" w:rsidR="00A84B7C" w:rsidRPr="00196F03" w:rsidRDefault="00A84B7C" w:rsidP="00A84B7C">
      <w:pPr>
        <w:numPr>
          <w:ilvl w:val="1"/>
          <w:numId w:val="49"/>
        </w:numPr>
        <w:overflowPunct/>
        <w:autoSpaceDE/>
        <w:autoSpaceDN/>
        <w:adjustRightInd/>
        <w:spacing w:after="0"/>
        <w:jc w:val="both"/>
        <w:textAlignment w:val="auto"/>
        <w:rPr>
          <w:rFonts w:ascii="Times" w:eastAsia="DengXian" w:hAnsi="Times"/>
          <w:lang w:val="en-CA" w:eastAsia="zh-CN"/>
        </w:rPr>
      </w:pPr>
      <w:r w:rsidRPr="00196F03">
        <w:rPr>
          <w:rFonts w:ascii="Times" w:eastAsia="DengXian" w:hAnsi="Times"/>
          <w:lang w:val="en-CA" w:eastAsia="zh-CN"/>
        </w:rPr>
        <w:t>E.g., defining i0 as the default CLPC for SRS resource set in this case. E.g,, configure one of the separate SRS CLPC adjustment states to the SRS resource set.</w:t>
      </w:r>
    </w:p>
    <w:p w14:paraId="611947B1" w14:textId="19946FA3" w:rsidR="001D26F9" w:rsidRDefault="001D26F9" w:rsidP="001D26F9">
      <w:pPr>
        <w:jc w:val="both"/>
        <w:rPr>
          <w:rFonts w:ascii="Arial" w:eastAsiaTheme="minorEastAsia" w:hAnsi="Arial" w:cs="Arial"/>
          <w:bCs/>
          <w:sz w:val="22"/>
          <w:szCs w:val="22"/>
        </w:rPr>
      </w:pPr>
      <w:r>
        <w:rPr>
          <w:rFonts w:ascii="Arial" w:eastAsiaTheme="minorEastAsia" w:hAnsi="Arial" w:cs="Arial"/>
          <w:bCs/>
          <w:sz w:val="22"/>
          <w:szCs w:val="22"/>
        </w:rPr>
        <w:t xml:space="preserve">The first study point aims for the case that </w:t>
      </w:r>
      <w:r w:rsidR="008E41CD">
        <w:rPr>
          <w:rFonts w:ascii="Arial" w:eastAsiaTheme="minorEastAsia" w:hAnsi="Arial" w:cs="Arial"/>
          <w:bCs/>
          <w:sz w:val="22"/>
          <w:szCs w:val="22"/>
        </w:rPr>
        <w:t xml:space="preserve">whether/how to apply PL offset for </w:t>
      </w:r>
      <w:r>
        <w:rPr>
          <w:rFonts w:ascii="Arial" w:eastAsiaTheme="minorEastAsia" w:hAnsi="Arial" w:cs="Arial"/>
          <w:bCs/>
          <w:sz w:val="22"/>
          <w:szCs w:val="22"/>
        </w:rPr>
        <w:t>SRS resource set which is not configured to follow unified TCI framework</w:t>
      </w:r>
      <w:r w:rsidR="008E41CD">
        <w:rPr>
          <w:rFonts w:ascii="Arial" w:eastAsiaTheme="minorEastAsia" w:hAnsi="Arial" w:cs="Arial"/>
          <w:bCs/>
          <w:sz w:val="22"/>
          <w:szCs w:val="22"/>
        </w:rPr>
        <w:t xml:space="preserve"> (in one exam</w:t>
      </w:r>
      <w:r>
        <w:rPr>
          <w:rFonts w:ascii="Arial" w:eastAsiaTheme="minorEastAsia" w:hAnsi="Arial" w:cs="Arial"/>
          <w:bCs/>
          <w:sz w:val="22"/>
          <w:szCs w:val="22"/>
        </w:rPr>
        <w:t>ple</w:t>
      </w:r>
      <w:r w:rsidR="008E41CD">
        <w:rPr>
          <w:rFonts w:ascii="Arial" w:eastAsiaTheme="minorEastAsia" w:hAnsi="Arial" w:cs="Arial"/>
          <w:bCs/>
          <w:sz w:val="22"/>
          <w:szCs w:val="22"/>
        </w:rPr>
        <w:t>,</w:t>
      </w:r>
      <w:r>
        <w:rPr>
          <w:rFonts w:ascii="Arial" w:eastAsiaTheme="minorEastAsia" w:hAnsi="Arial" w:cs="Arial"/>
          <w:bCs/>
          <w:sz w:val="22"/>
          <w:szCs w:val="22"/>
        </w:rPr>
        <w:t xml:space="preserve"> SRS resource set for BM purpose</w:t>
      </w:r>
      <w:r w:rsidR="008E41CD">
        <w:rPr>
          <w:rFonts w:ascii="Arial" w:eastAsiaTheme="minorEastAsia" w:hAnsi="Arial" w:cs="Arial"/>
          <w:bCs/>
          <w:sz w:val="22"/>
          <w:szCs w:val="22"/>
        </w:rPr>
        <w:t>)</w:t>
      </w:r>
      <w:r>
        <w:rPr>
          <w:rFonts w:ascii="Arial" w:eastAsiaTheme="minorEastAsia" w:hAnsi="Arial" w:cs="Arial"/>
          <w:bCs/>
          <w:sz w:val="22"/>
          <w:szCs w:val="22"/>
        </w:rPr>
        <w:t xml:space="preserve">. </w:t>
      </w:r>
      <w:r w:rsidR="008723CB">
        <w:rPr>
          <w:rFonts w:ascii="Arial" w:eastAsiaTheme="minorEastAsia" w:hAnsi="Arial" w:cs="Arial"/>
          <w:bCs/>
          <w:sz w:val="22"/>
          <w:szCs w:val="22"/>
        </w:rPr>
        <w:t xml:space="preserve">In our view, for SRS resource set not follow unified TCI framework, there could be two methods to determine whether to apply PL offset. </w:t>
      </w:r>
      <w:r w:rsidR="00BF05DB">
        <w:rPr>
          <w:rFonts w:ascii="Arial" w:eastAsiaTheme="minorEastAsia" w:hAnsi="Arial" w:cs="Arial"/>
          <w:bCs/>
          <w:sz w:val="22"/>
          <w:szCs w:val="22"/>
        </w:rPr>
        <w:t>T</w:t>
      </w:r>
      <w:r w:rsidR="008723CB">
        <w:rPr>
          <w:rFonts w:ascii="Arial" w:eastAsiaTheme="minorEastAsia" w:hAnsi="Arial" w:cs="Arial"/>
          <w:bCs/>
          <w:sz w:val="22"/>
          <w:szCs w:val="22"/>
        </w:rPr>
        <w:t xml:space="preserve">he first method is to directly configure PL offset to a SRS resource set, and the second method is to reuse PL offset value configured in TCI state “configured” for each SRS resource. </w:t>
      </w:r>
      <w:r w:rsidR="007500DF">
        <w:rPr>
          <w:rFonts w:ascii="Arial" w:eastAsiaTheme="minorEastAsia" w:hAnsi="Arial" w:cs="Arial"/>
          <w:bCs/>
          <w:sz w:val="22"/>
          <w:szCs w:val="22"/>
        </w:rPr>
        <w:t xml:space="preserve">Both methods could work. </w:t>
      </w:r>
      <w:r w:rsidR="008723CB">
        <w:rPr>
          <w:rFonts w:ascii="Arial" w:eastAsiaTheme="minorEastAsia" w:hAnsi="Arial" w:cs="Arial"/>
          <w:bCs/>
          <w:sz w:val="22"/>
          <w:szCs w:val="22"/>
        </w:rPr>
        <w:t xml:space="preserve">The first method could be a simple solution but </w:t>
      </w:r>
      <w:r w:rsidR="007500DF">
        <w:rPr>
          <w:rFonts w:ascii="Arial" w:eastAsiaTheme="minorEastAsia" w:hAnsi="Arial" w:cs="Arial"/>
          <w:bCs/>
          <w:sz w:val="22"/>
          <w:szCs w:val="22"/>
        </w:rPr>
        <w:t xml:space="preserve">may </w:t>
      </w:r>
      <w:r w:rsidR="008723CB">
        <w:rPr>
          <w:rFonts w:ascii="Arial" w:eastAsiaTheme="minorEastAsia" w:hAnsi="Arial" w:cs="Arial"/>
          <w:bCs/>
          <w:sz w:val="22"/>
          <w:szCs w:val="22"/>
        </w:rPr>
        <w:t xml:space="preserve">have duplicated framework since TCI state </w:t>
      </w:r>
      <w:r w:rsidR="00BF05DB">
        <w:rPr>
          <w:rFonts w:ascii="Arial" w:eastAsiaTheme="minorEastAsia" w:hAnsi="Arial" w:cs="Arial"/>
          <w:bCs/>
          <w:sz w:val="22"/>
          <w:szCs w:val="22"/>
        </w:rPr>
        <w:t xml:space="preserve">configured for each SRS resource could include </w:t>
      </w:r>
      <w:r w:rsidR="008723CB">
        <w:rPr>
          <w:rFonts w:ascii="Arial" w:eastAsiaTheme="minorEastAsia" w:hAnsi="Arial" w:cs="Arial"/>
          <w:bCs/>
          <w:sz w:val="22"/>
          <w:szCs w:val="22"/>
        </w:rPr>
        <w:t>PL offset</w:t>
      </w:r>
      <w:r w:rsidR="00BF05DB">
        <w:rPr>
          <w:rFonts w:ascii="Arial" w:eastAsiaTheme="minorEastAsia" w:hAnsi="Arial" w:cs="Arial"/>
          <w:bCs/>
          <w:sz w:val="22"/>
          <w:szCs w:val="22"/>
        </w:rPr>
        <w:t xml:space="preserve"> value</w:t>
      </w:r>
      <w:r w:rsidR="008723CB">
        <w:rPr>
          <w:rFonts w:ascii="Arial" w:eastAsiaTheme="minorEastAsia" w:hAnsi="Arial" w:cs="Arial"/>
          <w:bCs/>
          <w:sz w:val="22"/>
          <w:szCs w:val="22"/>
        </w:rPr>
        <w:t>. On the other hands, the second method reuse</w:t>
      </w:r>
      <w:r w:rsidR="007500DF">
        <w:rPr>
          <w:rFonts w:ascii="Arial" w:eastAsiaTheme="minorEastAsia" w:hAnsi="Arial" w:cs="Arial"/>
          <w:bCs/>
          <w:sz w:val="22"/>
          <w:szCs w:val="22"/>
        </w:rPr>
        <w:t xml:space="preserve">s current agreed </w:t>
      </w:r>
      <w:r w:rsidR="00BF05DB">
        <w:rPr>
          <w:rFonts w:ascii="Arial" w:eastAsiaTheme="minorEastAsia" w:hAnsi="Arial" w:cs="Arial"/>
          <w:bCs/>
          <w:sz w:val="22"/>
          <w:szCs w:val="22"/>
        </w:rPr>
        <w:t>frame</w:t>
      </w:r>
      <w:r w:rsidR="007500DF">
        <w:rPr>
          <w:rFonts w:ascii="Arial" w:eastAsiaTheme="minorEastAsia" w:hAnsi="Arial" w:cs="Arial"/>
          <w:bCs/>
          <w:sz w:val="22"/>
          <w:szCs w:val="22"/>
        </w:rPr>
        <w:t>work that TCI state configu</w:t>
      </w:r>
      <w:r w:rsidR="00BF05DB">
        <w:rPr>
          <w:rFonts w:ascii="Arial" w:eastAsiaTheme="minorEastAsia" w:hAnsi="Arial" w:cs="Arial"/>
          <w:bCs/>
          <w:sz w:val="22"/>
          <w:szCs w:val="22"/>
        </w:rPr>
        <w:t xml:space="preserve">ration includes PL offset value, and depending PL offset value included in configured TCI state for each SRS resource (i.e., </w:t>
      </w:r>
      <w:r w:rsidR="00BF05DB" w:rsidRPr="00BF05DB">
        <w:rPr>
          <w:rFonts w:ascii="Arial" w:eastAsiaTheme="minorEastAsia" w:hAnsi="Arial" w:cs="Arial"/>
          <w:bCs/>
          <w:i/>
          <w:sz w:val="22"/>
          <w:szCs w:val="22"/>
        </w:rPr>
        <w:t>srs-TCI-State-r17</w:t>
      </w:r>
      <w:r w:rsidR="00BF05DB">
        <w:rPr>
          <w:rFonts w:ascii="Arial" w:eastAsiaTheme="minorEastAsia" w:hAnsi="Arial" w:cs="Arial"/>
          <w:bCs/>
          <w:sz w:val="22"/>
          <w:szCs w:val="22"/>
        </w:rPr>
        <w:t>), the UE could determine whether/how to apply PL offset.</w:t>
      </w:r>
    </w:p>
    <w:p w14:paraId="2B8BBB30" w14:textId="454B6958" w:rsidR="00E62C64" w:rsidRDefault="00E62C64" w:rsidP="00E62C6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sidR="008723CB">
        <w:rPr>
          <w:rFonts w:ascii="Arial" w:eastAsiaTheme="minorEastAsia" w:hAnsi="Arial" w:cs="Arial"/>
          <w:b/>
          <w:bCs/>
          <w:sz w:val="22"/>
          <w:szCs w:val="22"/>
        </w:rPr>
        <w:t xml:space="preserve"> For SRS resource set which is not configured to follow unified TCI framework, the UE determines PL offset for each SRS resource in the SRS resource set based on configured TCI state for each SRS resource</w:t>
      </w:r>
      <w:r>
        <w:rPr>
          <w:rFonts w:ascii="Arial" w:eastAsiaTheme="minorEastAsia" w:hAnsi="Arial" w:cs="Arial"/>
          <w:b/>
          <w:bCs/>
          <w:sz w:val="22"/>
          <w:szCs w:val="22"/>
        </w:rPr>
        <w:t>.</w:t>
      </w:r>
    </w:p>
    <w:p w14:paraId="6D748E80" w14:textId="77777777" w:rsidR="00E62C64" w:rsidRPr="00E62C64" w:rsidRDefault="00E62C64" w:rsidP="00F7297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0D3FA433"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8E791A3" w14:textId="77777777" w:rsidR="00196F03" w:rsidRDefault="00196F03" w:rsidP="00196F0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Introduce one new bit field in PDCCH-order for indicating PL offset value for PRACH transmission:</w:t>
      </w:r>
    </w:p>
    <w:p w14:paraId="16CAFD46" w14:textId="77777777" w:rsidR="00196F03" w:rsidRPr="00196F03" w:rsidRDefault="00196F03"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0: PL offset value associated with 1-st indicated joint/UL TCI state</w:t>
      </w:r>
    </w:p>
    <w:p w14:paraId="04631EDB" w14:textId="77777777" w:rsidR="00196F03" w:rsidRPr="00196F03" w:rsidRDefault="00196F03"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1: PL offset value associated with 2-nd indicated joint/UL TCI state</w:t>
      </w:r>
    </w:p>
    <w:p w14:paraId="5D8AEA0E" w14:textId="74539EC6" w:rsidR="0096558F" w:rsidRDefault="000F2DF9" w:rsidP="007C2B0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0F2DF9">
        <w:rPr>
          <w:rFonts w:ascii="Arial" w:eastAsiaTheme="minorEastAsia" w:hAnsi="Arial" w:cs="Arial"/>
          <w:b/>
          <w:bCs/>
          <w:sz w:val="22"/>
          <w:szCs w:val="22"/>
        </w:rPr>
        <w:t xml:space="preserve">Proposal 2: RAN1 makes </w:t>
      </w:r>
      <w:r w:rsidR="00191016">
        <w:rPr>
          <w:rFonts w:ascii="Arial" w:eastAsiaTheme="minorEastAsia" w:hAnsi="Arial" w:cs="Arial"/>
          <w:b/>
          <w:bCs/>
          <w:sz w:val="22"/>
          <w:szCs w:val="22"/>
        </w:rPr>
        <w:t xml:space="preserve">a </w:t>
      </w:r>
      <w:r w:rsidRPr="000F2DF9">
        <w:rPr>
          <w:rFonts w:ascii="Arial" w:eastAsiaTheme="minorEastAsia" w:hAnsi="Arial" w:cs="Arial"/>
          <w:b/>
          <w:bCs/>
          <w:sz w:val="22"/>
          <w:szCs w:val="22"/>
        </w:rPr>
        <w:t>conclusion that there is no need to include PL offset in the calculation of Type 3 PHR.</w:t>
      </w:r>
    </w:p>
    <w:p w14:paraId="293CA7D0" w14:textId="77777777" w:rsidR="00760A87" w:rsidRDefault="00760A87" w:rsidP="00760A8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SRS resource set which is not configured to follow unified TCI framework, the UE determines PL offset for each SRS resource in the SRS resource set based on configured TCI state for each SRS resource.</w:t>
      </w:r>
    </w:p>
    <w:p w14:paraId="05F6B3FC" w14:textId="77777777" w:rsidR="00082129" w:rsidRPr="00760A87" w:rsidRDefault="00082129" w:rsidP="00C11868">
      <w:pPr>
        <w:tabs>
          <w:tab w:val="num" w:pos="1304"/>
          <w:tab w:val="left" w:pos="1701"/>
        </w:tabs>
        <w:overflowPunct/>
        <w:autoSpaceDE/>
        <w:autoSpaceDN/>
        <w:adjustRightInd/>
        <w:spacing w:after="120" w:line="259" w:lineRule="auto"/>
        <w:jc w:val="both"/>
        <w:textAlignment w:val="auto"/>
        <w:rPr>
          <w:sz w:val="22"/>
          <w:szCs w:val="22"/>
        </w:rPr>
      </w:pPr>
      <w:bookmarkStart w:id="0" w:name="_GoBack"/>
      <w:bookmarkEnd w:id="0"/>
    </w:p>
    <w:sectPr w:rsidR="00082129" w:rsidRPr="00760A8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EB25C" w14:textId="77777777" w:rsidR="005B4D7B" w:rsidRDefault="005B4D7B" w:rsidP="000D05D3">
      <w:pPr>
        <w:spacing w:after="0"/>
      </w:pPr>
      <w:r>
        <w:separator/>
      </w:r>
    </w:p>
  </w:endnote>
  <w:endnote w:type="continuationSeparator" w:id="0">
    <w:p w14:paraId="68BED80F" w14:textId="77777777" w:rsidR="005B4D7B" w:rsidRDefault="005B4D7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4FDB6" w14:textId="77777777" w:rsidR="005B4D7B" w:rsidRDefault="005B4D7B" w:rsidP="000D05D3">
      <w:pPr>
        <w:spacing w:after="0"/>
      </w:pPr>
      <w:r>
        <w:separator/>
      </w:r>
    </w:p>
  </w:footnote>
  <w:footnote w:type="continuationSeparator" w:id="0">
    <w:p w14:paraId="1065EE09" w14:textId="77777777" w:rsidR="005B4D7B" w:rsidRDefault="005B4D7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4F710F"/>
    <w:multiLevelType w:val="hybridMultilevel"/>
    <w:tmpl w:val="17B265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DA5888"/>
    <w:multiLevelType w:val="hybridMultilevel"/>
    <w:tmpl w:val="2FFC55AE"/>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A5AEB"/>
    <w:multiLevelType w:val="hybridMultilevel"/>
    <w:tmpl w:val="3F82AA14"/>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4"/>
  </w:num>
  <w:num w:numId="3">
    <w:abstractNumId w:val="4"/>
  </w:num>
  <w:num w:numId="4">
    <w:abstractNumId w:val="26"/>
  </w:num>
  <w:num w:numId="5">
    <w:abstractNumId w:val="48"/>
  </w:num>
  <w:num w:numId="6">
    <w:abstractNumId w:val="27"/>
  </w:num>
  <w:num w:numId="7">
    <w:abstractNumId w:val="46"/>
  </w:num>
  <w:num w:numId="8">
    <w:abstractNumId w:val="18"/>
  </w:num>
  <w:num w:numId="9">
    <w:abstractNumId w:val="3"/>
  </w:num>
  <w:num w:numId="10">
    <w:abstractNumId w:val="0"/>
  </w:num>
  <w:num w:numId="11">
    <w:abstractNumId w:val="44"/>
  </w:num>
  <w:num w:numId="12">
    <w:abstractNumId w:val="35"/>
  </w:num>
  <w:num w:numId="13">
    <w:abstractNumId w:val="21"/>
  </w:num>
  <w:num w:numId="14">
    <w:abstractNumId w:val="23"/>
  </w:num>
  <w:num w:numId="15">
    <w:abstractNumId w:val="17"/>
  </w:num>
  <w:num w:numId="16">
    <w:abstractNumId w:val="16"/>
  </w:num>
  <w:num w:numId="17">
    <w:abstractNumId w:val="13"/>
  </w:num>
  <w:num w:numId="18">
    <w:abstractNumId w:val="14"/>
  </w:num>
  <w:num w:numId="19">
    <w:abstractNumId w:val="40"/>
  </w:num>
  <w:num w:numId="20">
    <w:abstractNumId w:val="31"/>
  </w:num>
  <w:num w:numId="21">
    <w:abstractNumId w:val="43"/>
  </w:num>
  <w:num w:numId="22">
    <w:abstractNumId w:val="41"/>
  </w:num>
  <w:num w:numId="23">
    <w:abstractNumId w:val="12"/>
  </w:num>
  <w:num w:numId="24">
    <w:abstractNumId w:val="1"/>
  </w:num>
  <w:num w:numId="25">
    <w:abstractNumId w:val="45"/>
  </w:num>
  <w:num w:numId="26">
    <w:abstractNumId w:val="2"/>
  </w:num>
  <w:num w:numId="27">
    <w:abstractNumId w:val="11"/>
  </w:num>
  <w:num w:numId="28">
    <w:abstractNumId w:val="39"/>
  </w:num>
  <w:num w:numId="29">
    <w:abstractNumId w:val="28"/>
  </w:num>
  <w:num w:numId="30">
    <w:abstractNumId w:val="5"/>
  </w:num>
  <w:num w:numId="31">
    <w:abstractNumId w:val="29"/>
  </w:num>
  <w:num w:numId="32">
    <w:abstractNumId w:val="6"/>
  </w:num>
  <w:num w:numId="33">
    <w:abstractNumId w:val="30"/>
  </w:num>
  <w:num w:numId="34">
    <w:abstractNumId w:val="25"/>
  </w:num>
  <w:num w:numId="35">
    <w:abstractNumId w:val="38"/>
  </w:num>
  <w:num w:numId="36">
    <w:abstractNumId w:val="15"/>
  </w:num>
  <w:num w:numId="37">
    <w:abstractNumId w:val="10"/>
  </w:num>
  <w:num w:numId="38">
    <w:abstractNumId w:val="33"/>
  </w:num>
  <w:num w:numId="39">
    <w:abstractNumId w:val="36"/>
  </w:num>
  <w:num w:numId="40">
    <w:abstractNumId w:val="47"/>
  </w:num>
  <w:num w:numId="41">
    <w:abstractNumId w:val="8"/>
  </w:num>
  <w:num w:numId="42">
    <w:abstractNumId w:val="32"/>
  </w:num>
  <w:num w:numId="43">
    <w:abstractNumId w:val="37"/>
  </w:num>
  <w:num w:numId="44">
    <w:abstractNumId w:val="19"/>
  </w:num>
  <w:num w:numId="45">
    <w:abstractNumId w:val="20"/>
  </w:num>
  <w:num w:numId="46">
    <w:abstractNumId w:val="34"/>
  </w:num>
  <w:num w:numId="47">
    <w:abstractNumId w:val="7"/>
  </w:num>
  <w:num w:numId="48">
    <w:abstractNumId w:val="22"/>
  </w:num>
  <w:num w:numId="49">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4879"/>
    <w:rsid w:val="0003579A"/>
    <w:rsid w:val="000360A7"/>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2129"/>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2889"/>
    <w:rsid w:val="000E7D18"/>
    <w:rsid w:val="000F0A68"/>
    <w:rsid w:val="000F0FD5"/>
    <w:rsid w:val="000F2DF9"/>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5657"/>
    <w:rsid w:val="001662C8"/>
    <w:rsid w:val="001670F7"/>
    <w:rsid w:val="00170FB0"/>
    <w:rsid w:val="00172BC1"/>
    <w:rsid w:val="00176379"/>
    <w:rsid w:val="0017714F"/>
    <w:rsid w:val="00180B60"/>
    <w:rsid w:val="00180F8F"/>
    <w:rsid w:val="0018381C"/>
    <w:rsid w:val="00183DA0"/>
    <w:rsid w:val="00190C63"/>
    <w:rsid w:val="00191016"/>
    <w:rsid w:val="001923D3"/>
    <w:rsid w:val="00193564"/>
    <w:rsid w:val="00193F65"/>
    <w:rsid w:val="00196F03"/>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6F9"/>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E7A7A"/>
    <w:rsid w:val="002F4B52"/>
    <w:rsid w:val="002F6FA2"/>
    <w:rsid w:val="00301BF8"/>
    <w:rsid w:val="00302987"/>
    <w:rsid w:val="003048CB"/>
    <w:rsid w:val="003058EB"/>
    <w:rsid w:val="0030605D"/>
    <w:rsid w:val="00310721"/>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2730"/>
    <w:rsid w:val="00343606"/>
    <w:rsid w:val="00352CEC"/>
    <w:rsid w:val="00354606"/>
    <w:rsid w:val="00354C8F"/>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1DD"/>
    <w:rsid w:val="003D1380"/>
    <w:rsid w:val="003D24A4"/>
    <w:rsid w:val="003D2B85"/>
    <w:rsid w:val="003D5800"/>
    <w:rsid w:val="003D6098"/>
    <w:rsid w:val="003D6344"/>
    <w:rsid w:val="003E0189"/>
    <w:rsid w:val="003E44A4"/>
    <w:rsid w:val="003E493C"/>
    <w:rsid w:val="003F04AF"/>
    <w:rsid w:val="0040067F"/>
    <w:rsid w:val="00400B15"/>
    <w:rsid w:val="00404400"/>
    <w:rsid w:val="00407077"/>
    <w:rsid w:val="00407168"/>
    <w:rsid w:val="004077C6"/>
    <w:rsid w:val="00412827"/>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6A50"/>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1052"/>
    <w:rsid w:val="00492A83"/>
    <w:rsid w:val="004948C5"/>
    <w:rsid w:val="004957BD"/>
    <w:rsid w:val="00495952"/>
    <w:rsid w:val="004A1BD6"/>
    <w:rsid w:val="004A3FF9"/>
    <w:rsid w:val="004A6002"/>
    <w:rsid w:val="004B1E02"/>
    <w:rsid w:val="004B39D4"/>
    <w:rsid w:val="004B4D96"/>
    <w:rsid w:val="004B6ACB"/>
    <w:rsid w:val="004C0922"/>
    <w:rsid w:val="004C49FC"/>
    <w:rsid w:val="004C5255"/>
    <w:rsid w:val="004C6D11"/>
    <w:rsid w:val="004D04C6"/>
    <w:rsid w:val="004D45D1"/>
    <w:rsid w:val="004E099B"/>
    <w:rsid w:val="004E0B5F"/>
    <w:rsid w:val="004E4293"/>
    <w:rsid w:val="004E43FF"/>
    <w:rsid w:val="004E7DF7"/>
    <w:rsid w:val="004F10A2"/>
    <w:rsid w:val="004F1ECD"/>
    <w:rsid w:val="004F21AE"/>
    <w:rsid w:val="004F29BA"/>
    <w:rsid w:val="004F6010"/>
    <w:rsid w:val="004F69A7"/>
    <w:rsid w:val="00501279"/>
    <w:rsid w:val="00501C73"/>
    <w:rsid w:val="00503838"/>
    <w:rsid w:val="005068C5"/>
    <w:rsid w:val="00511279"/>
    <w:rsid w:val="00513F5B"/>
    <w:rsid w:val="00514606"/>
    <w:rsid w:val="0051485D"/>
    <w:rsid w:val="00517500"/>
    <w:rsid w:val="00521B8C"/>
    <w:rsid w:val="00533F25"/>
    <w:rsid w:val="005340E3"/>
    <w:rsid w:val="00534186"/>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4D7B"/>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1232"/>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49BB"/>
    <w:rsid w:val="006F799D"/>
    <w:rsid w:val="007003C0"/>
    <w:rsid w:val="0070581B"/>
    <w:rsid w:val="00711D23"/>
    <w:rsid w:val="00712271"/>
    <w:rsid w:val="00712741"/>
    <w:rsid w:val="00716057"/>
    <w:rsid w:val="007163FE"/>
    <w:rsid w:val="00720965"/>
    <w:rsid w:val="00724CED"/>
    <w:rsid w:val="007259AF"/>
    <w:rsid w:val="00727250"/>
    <w:rsid w:val="00727854"/>
    <w:rsid w:val="007279DD"/>
    <w:rsid w:val="0073629E"/>
    <w:rsid w:val="00736630"/>
    <w:rsid w:val="00736B37"/>
    <w:rsid w:val="00740575"/>
    <w:rsid w:val="0074289F"/>
    <w:rsid w:val="007432A5"/>
    <w:rsid w:val="00745932"/>
    <w:rsid w:val="007500DF"/>
    <w:rsid w:val="00751098"/>
    <w:rsid w:val="007567A8"/>
    <w:rsid w:val="00760A87"/>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2B02"/>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23CB"/>
    <w:rsid w:val="0087462F"/>
    <w:rsid w:val="00881AF7"/>
    <w:rsid w:val="00893C78"/>
    <w:rsid w:val="00895D59"/>
    <w:rsid w:val="008968B4"/>
    <w:rsid w:val="00897923"/>
    <w:rsid w:val="008A0220"/>
    <w:rsid w:val="008A219B"/>
    <w:rsid w:val="008A4CE3"/>
    <w:rsid w:val="008A5081"/>
    <w:rsid w:val="008A7BB1"/>
    <w:rsid w:val="008B1AEA"/>
    <w:rsid w:val="008B1C30"/>
    <w:rsid w:val="008B2B61"/>
    <w:rsid w:val="008B6ED6"/>
    <w:rsid w:val="008C171F"/>
    <w:rsid w:val="008C1A9B"/>
    <w:rsid w:val="008C2F03"/>
    <w:rsid w:val="008C3126"/>
    <w:rsid w:val="008C62BB"/>
    <w:rsid w:val="008C6EE9"/>
    <w:rsid w:val="008C6F73"/>
    <w:rsid w:val="008C7F44"/>
    <w:rsid w:val="008D37E6"/>
    <w:rsid w:val="008D6004"/>
    <w:rsid w:val="008D60F9"/>
    <w:rsid w:val="008D6876"/>
    <w:rsid w:val="008E3B67"/>
    <w:rsid w:val="008E41CD"/>
    <w:rsid w:val="008E503C"/>
    <w:rsid w:val="008F405F"/>
    <w:rsid w:val="008F4A88"/>
    <w:rsid w:val="008F5935"/>
    <w:rsid w:val="00901AB1"/>
    <w:rsid w:val="00901B2C"/>
    <w:rsid w:val="00920F14"/>
    <w:rsid w:val="00922EC8"/>
    <w:rsid w:val="009300FF"/>
    <w:rsid w:val="0093637F"/>
    <w:rsid w:val="00937048"/>
    <w:rsid w:val="009419A5"/>
    <w:rsid w:val="00944AE9"/>
    <w:rsid w:val="00952123"/>
    <w:rsid w:val="00955C49"/>
    <w:rsid w:val="009560EE"/>
    <w:rsid w:val="0095711B"/>
    <w:rsid w:val="0095751E"/>
    <w:rsid w:val="009603D4"/>
    <w:rsid w:val="00960D67"/>
    <w:rsid w:val="00960F73"/>
    <w:rsid w:val="0096558F"/>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05C4"/>
    <w:rsid w:val="009C2E41"/>
    <w:rsid w:val="009C4887"/>
    <w:rsid w:val="009C4D7C"/>
    <w:rsid w:val="009C52B2"/>
    <w:rsid w:val="009D1A39"/>
    <w:rsid w:val="009D2AC4"/>
    <w:rsid w:val="009D2E23"/>
    <w:rsid w:val="009D7917"/>
    <w:rsid w:val="009E09B4"/>
    <w:rsid w:val="009E7A7B"/>
    <w:rsid w:val="009F383D"/>
    <w:rsid w:val="009F392C"/>
    <w:rsid w:val="009F5782"/>
    <w:rsid w:val="00A01A69"/>
    <w:rsid w:val="00A02A09"/>
    <w:rsid w:val="00A02C42"/>
    <w:rsid w:val="00A031D1"/>
    <w:rsid w:val="00A0418A"/>
    <w:rsid w:val="00A057DB"/>
    <w:rsid w:val="00A0625E"/>
    <w:rsid w:val="00A064E1"/>
    <w:rsid w:val="00A076DA"/>
    <w:rsid w:val="00A07F3D"/>
    <w:rsid w:val="00A242C6"/>
    <w:rsid w:val="00A30985"/>
    <w:rsid w:val="00A35F1A"/>
    <w:rsid w:val="00A379CB"/>
    <w:rsid w:val="00A412F7"/>
    <w:rsid w:val="00A42E4A"/>
    <w:rsid w:val="00A43DB0"/>
    <w:rsid w:val="00A444D7"/>
    <w:rsid w:val="00A4594A"/>
    <w:rsid w:val="00A50069"/>
    <w:rsid w:val="00A51577"/>
    <w:rsid w:val="00A53E2A"/>
    <w:rsid w:val="00A60003"/>
    <w:rsid w:val="00A60319"/>
    <w:rsid w:val="00A60DAB"/>
    <w:rsid w:val="00A6299E"/>
    <w:rsid w:val="00A63A6F"/>
    <w:rsid w:val="00A6436E"/>
    <w:rsid w:val="00A6543E"/>
    <w:rsid w:val="00A66486"/>
    <w:rsid w:val="00A66B57"/>
    <w:rsid w:val="00A73E1D"/>
    <w:rsid w:val="00A7456C"/>
    <w:rsid w:val="00A74FA2"/>
    <w:rsid w:val="00A81C02"/>
    <w:rsid w:val="00A84B7C"/>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9653C"/>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A60"/>
    <w:rsid w:val="00BC7E72"/>
    <w:rsid w:val="00BD2ABC"/>
    <w:rsid w:val="00BE0A4E"/>
    <w:rsid w:val="00BE2058"/>
    <w:rsid w:val="00BE21E8"/>
    <w:rsid w:val="00BE2522"/>
    <w:rsid w:val="00BE3C75"/>
    <w:rsid w:val="00BE7AB3"/>
    <w:rsid w:val="00BF05DB"/>
    <w:rsid w:val="00C10222"/>
    <w:rsid w:val="00C10729"/>
    <w:rsid w:val="00C113BD"/>
    <w:rsid w:val="00C11868"/>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579E6"/>
    <w:rsid w:val="00C60731"/>
    <w:rsid w:val="00C62EAE"/>
    <w:rsid w:val="00C64715"/>
    <w:rsid w:val="00C6506A"/>
    <w:rsid w:val="00C7089B"/>
    <w:rsid w:val="00C7381B"/>
    <w:rsid w:val="00C76258"/>
    <w:rsid w:val="00C767A9"/>
    <w:rsid w:val="00C83C37"/>
    <w:rsid w:val="00C84956"/>
    <w:rsid w:val="00C84F4E"/>
    <w:rsid w:val="00C852B6"/>
    <w:rsid w:val="00C96569"/>
    <w:rsid w:val="00C96773"/>
    <w:rsid w:val="00C97B25"/>
    <w:rsid w:val="00CA1A17"/>
    <w:rsid w:val="00CA1D3D"/>
    <w:rsid w:val="00CA393C"/>
    <w:rsid w:val="00CA4240"/>
    <w:rsid w:val="00CA536C"/>
    <w:rsid w:val="00CA5594"/>
    <w:rsid w:val="00CB5A3D"/>
    <w:rsid w:val="00CB6D6E"/>
    <w:rsid w:val="00CB7A08"/>
    <w:rsid w:val="00CC002C"/>
    <w:rsid w:val="00CC6A60"/>
    <w:rsid w:val="00CC6E3C"/>
    <w:rsid w:val="00CD4CEB"/>
    <w:rsid w:val="00CD540D"/>
    <w:rsid w:val="00CE0507"/>
    <w:rsid w:val="00CE30F0"/>
    <w:rsid w:val="00CE6689"/>
    <w:rsid w:val="00CF2979"/>
    <w:rsid w:val="00CF3070"/>
    <w:rsid w:val="00CF3D8E"/>
    <w:rsid w:val="00CF5E36"/>
    <w:rsid w:val="00D05DD8"/>
    <w:rsid w:val="00D061E8"/>
    <w:rsid w:val="00D0785A"/>
    <w:rsid w:val="00D11801"/>
    <w:rsid w:val="00D136A2"/>
    <w:rsid w:val="00D21D04"/>
    <w:rsid w:val="00D25FB0"/>
    <w:rsid w:val="00D26411"/>
    <w:rsid w:val="00D26D8F"/>
    <w:rsid w:val="00D3154F"/>
    <w:rsid w:val="00D319E3"/>
    <w:rsid w:val="00D322A0"/>
    <w:rsid w:val="00D43C73"/>
    <w:rsid w:val="00D52C0A"/>
    <w:rsid w:val="00D55A43"/>
    <w:rsid w:val="00D55A79"/>
    <w:rsid w:val="00D56291"/>
    <w:rsid w:val="00D57B62"/>
    <w:rsid w:val="00D61496"/>
    <w:rsid w:val="00D62F60"/>
    <w:rsid w:val="00D65F05"/>
    <w:rsid w:val="00D65FD8"/>
    <w:rsid w:val="00D670C6"/>
    <w:rsid w:val="00D67644"/>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634"/>
    <w:rsid w:val="00DA6A2C"/>
    <w:rsid w:val="00DA6BFD"/>
    <w:rsid w:val="00DB0D72"/>
    <w:rsid w:val="00DB1EA9"/>
    <w:rsid w:val="00DB29F1"/>
    <w:rsid w:val="00DB517B"/>
    <w:rsid w:val="00DB569A"/>
    <w:rsid w:val="00DC073C"/>
    <w:rsid w:val="00DC1115"/>
    <w:rsid w:val="00DC38BE"/>
    <w:rsid w:val="00DC5CB0"/>
    <w:rsid w:val="00DC626D"/>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4F05"/>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3D48"/>
    <w:rsid w:val="00E569A6"/>
    <w:rsid w:val="00E610F1"/>
    <w:rsid w:val="00E62C64"/>
    <w:rsid w:val="00E62C7D"/>
    <w:rsid w:val="00E63810"/>
    <w:rsid w:val="00E64648"/>
    <w:rsid w:val="00E64D31"/>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6C9D"/>
    <w:rsid w:val="00EB7964"/>
    <w:rsid w:val="00EB7E35"/>
    <w:rsid w:val="00EC4661"/>
    <w:rsid w:val="00EC4B9C"/>
    <w:rsid w:val="00EC6455"/>
    <w:rsid w:val="00EC675C"/>
    <w:rsid w:val="00EC78C9"/>
    <w:rsid w:val="00ED46B5"/>
    <w:rsid w:val="00ED6131"/>
    <w:rsid w:val="00EE03C4"/>
    <w:rsid w:val="00EE130E"/>
    <w:rsid w:val="00EE14F4"/>
    <w:rsid w:val="00EE4E23"/>
    <w:rsid w:val="00EE72F2"/>
    <w:rsid w:val="00EF208B"/>
    <w:rsid w:val="00EF5EEA"/>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390F"/>
    <w:rsid w:val="00F66C71"/>
    <w:rsid w:val="00F72972"/>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0B4C"/>
    <w:rsid w:val="00FB139D"/>
    <w:rsid w:val="00FB3AA6"/>
    <w:rsid w:val="00FB5A30"/>
    <w:rsid w:val="00FB7628"/>
    <w:rsid w:val="00FC1864"/>
    <w:rsid w:val="00FC1881"/>
    <w:rsid w:val="00FD23AB"/>
    <w:rsid w:val="00FD551A"/>
    <w:rsid w:val="00FD701F"/>
    <w:rsid w:val="00FE13B7"/>
    <w:rsid w:val="00FE6904"/>
    <w:rsid w:val="00FE69DD"/>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97E2F-7F85-4C9A-926E-EA6E9596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46</cp:revision>
  <dcterms:created xsi:type="dcterms:W3CDTF">2024-05-08T07:12:00Z</dcterms:created>
  <dcterms:modified xsi:type="dcterms:W3CDTF">2024-10-04T09:24:00Z</dcterms:modified>
</cp:coreProperties>
</file>